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22" w:rsidRPr="006331FD" w:rsidRDefault="00803622" w:rsidP="00CA36F6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cs="Times New Roman"/>
          <w:bCs/>
          <w:sz w:val="20"/>
          <w:szCs w:val="20"/>
          <w:lang w:val="ru-RU"/>
        </w:rPr>
      </w:pPr>
      <w:r w:rsidRPr="00803622">
        <w:rPr>
          <w:rFonts w:cs="Times New Roman"/>
          <w:bCs/>
          <w:sz w:val="24"/>
          <w:lang w:val="ru-RU"/>
        </w:rPr>
        <w:t xml:space="preserve">Приложение </w:t>
      </w:r>
    </w:p>
    <w:p w:rsidR="00803622" w:rsidRDefault="00803622" w:rsidP="0080362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cs="Times New Roman"/>
          <w:bCs/>
          <w:szCs w:val="28"/>
          <w:lang w:val="ru-RU"/>
        </w:rPr>
      </w:pPr>
    </w:p>
    <w:p w:rsidR="00803622" w:rsidRPr="00803622" w:rsidRDefault="00803622" w:rsidP="005333BA">
      <w:pPr>
        <w:autoSpaceDE w:val="0"/>
        <w:autoSpaceDN w:val="0"/>
        <w:adjustRightInd w:val="0"/>
        <w:spacing w:line="276" w:lineRule="auto"/>
        <w:ind w:firstLine="142"/>
        <w:jc w:val="center"/>
        <w:rPr>
          <w:rFonts w:cs="Times New Roman"/>
          <w:bCs/>
          <w:szCs w:val="28"/>
          <w:lang w:val="ru-RU"/>
        </w:rPr>
      </w:pPr>
      <w:r w:rsidRPr="00803622">
        <w:rPr>
          <w:rFonts w:cs="Times New Roman"/>
          <w:bCs/>
          <w:szCs w:val="28"/>
          <w:lang w:val="ru-RU"/>
        </w:rPr>
        <w:t>Н</w:t>
      </w:r>
      <w:bookmarkStart w:id="0" w:name="_GoBack"/>
      <w:bookmarkEnd w:id="0"/>
      <w:r w:rsidRPr="00803622">
        <w:rPr>
          <w:rFonts w:cs="Times New Roman"/>
          <w:bCs/>
          <w:szCs w:val="28"/>
          <w:lang w:val="ru-RU"/>
        </w:rPr>
        <w:t xml:space="preserve">аиболее распространенные виды отходов </w:t>
      </w:r>
      <w:r w:rsidRPr="00803622">
        <w:rPr>
          <w:rFonts w:cs="Times New Roman"/>
          <w:bCs/>
          <w:szCs w:val="28"/>
        </w:rPr>
        <w:t>I</w:t>
      </w:r>
      <w:r w:rsidRPr="00803622">
        <w:rPr>
          <w:rFonts w:cs="Times New Roman"/>
          <w:bCs/>
          <w:szCs w:val="28"/>
          <w:lang w:val="ru-RU"/>
        </w:rPr>
        <w:t xml:space="preserve"> и </w:t>
      </w:r>
      <w:r w:rsidRPr="00803622">
        <w:rPr>
          <w:rFonts w:cs="Times New Roman"/>
          <w:bCs/>
          <w:szCs w:val="28"/>
        </w:rPr>
        <w:t>II</w:t>
      </w:r>
      <w:r w:rsidRPr="00803622">
        <w:rPr>
          <w:rFonts w:cs="Times New Roman"/>
          <w:bCs/>
          <w:szCs w:val="28"/>
          <w:lang w:val="ru-RU"/>
        </w:rPr>
        <w:t xml:space="preserve"> классов опасности</w:t>
      </w:r>
    </w:p>
    <w:p w:rsidR="00803622" w:rsidRPr="006331FD" w:rsidRDefault="00803622" w:rsidP="0080362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cs="Times New Roman"/>
          <w:b/>
          <w:bCs/>
          <w:szCs w:val="28"/>
          <w:lang w:val="ru-RU"/>
        </w:rPr>
      </w:pPr>
    </w:p>
    <w:tbl>
      <w:tblPr>
        <w:tblStyle w:val="a3"/>
        <w:tblW w:w="10784" w:type="dxa"/>
        <w:tblInd w:w="-714" w:type="dxa"/>
        <w:tblLook w:val="04A0" w:firstRow="1" w:lastRow="0" w:firstColumn="1" w:lastColumn="0" w:noHBand="0" w:noVBand="1"/>
      </w:tblPr>
      <w:tblGrid>
        <w:gridCol w:w="5671"/>
        <w:gridCol w:w="1984"/>
        <w:gridCol w:w="3129"/>
      </w:tblGrid>
      <w:tr w:rsidR="00803622" w:rsidRPr="00803622" w:rsidTr="00516A41">
        <w:trPr>
          <w:trHeight w:val="300"/>
        </w:trPr>
        <w:tc>
          <w:tcPr>
            <w:tcW w:w="5671" w:type="dxa"/>
            <w:noWrap/>
            <w:hideMark/>
          </w:tcPr>
          <w:p w:rsidR="00803622" w:rsidRPr="00803622" w:rsidRDefault="00803622" w:rsidP="00A87B03">
            <w:pPr>
              <w:tabs>
                <w:tab w:val="center" w:pos="2162"/>
              </w:tabs>
              <w:jc w:val="center"/>
              <w:rPr>
                <w:rFonts w:cs="Times New Roman"/>
                <w:bCs/>
                <w:sz w:val="24"/>
              </w:rPr>
            </w:pPr>
            <w:proofErr w:type="spellStart"/>
            <w:r w:rsidRPr="00803622">
              <w:rPr>
                <w:rFonts w:cs="Times New Roman"/>
                <w:bCs/>
                <w:sz w:val="24"/>
              </w:rPr>
              <w:t>Вид</w:t>
            </w:r>
            <w:proofErr w:type="spellEnd"/>
            <w:r w:rsidRPr="00803622">
              <w:rPr>
                <w:rFonts w:cs="Times New Roman"/>
                <w:bCs/>
                <w:sz w:val="24"/>
              </w:rPr>
              <w:t xml:space="preserve"> </w:t>
            </w:r>
            <w:proofErr w:type="spellStart"/>
            <w:r w:rsidRPr="00803622">
              <w:rPr>
                <w:rFonts w:cs="Times New Roman"/>
                <w:bCs/>
                <w:sz w:val="24"/>
              </w:rPr>
              <w:t>отхода</w:t>
            </w:r>
            <w:proofErr w:type="spellEnd"/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Вид ФККО</w:t>
            </w:r>
          </w:p>
        </w:tc>
        <w:tc>
          <w:tcPr>
            <w:tcW w:w="3129" w:type="dxa"/>
            <w:noWrap/>
            <w:hideMark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</w:rPr>
            </w:pPr>
            <w:proofErr w:type="spellStart"/>
            <w:r w:rsidRPr="00803622">
              <w:rPr>
                <w:rFonts w:cs="Times New Roman"/>
                <w:bCs/>
                <w:sz w:val="24"/>
              </w:rPr>
              <w:t>Комментарии</w:t>
            </w:r>
            <w:proofErr w:type="spellEnd"/>
          </w:p>
        </w:tc>
      </w:tr>
      <w:tr w:rsidR="00803622" w:rsidRPr="00CA36F6" w:rsidTr="00516A41">
        <w:trPr>
          <w:trHeight w:val="804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4 71 101 01 52 1</w:t>
            </w:r>
          </w:p>
        </w:tc>
        <w:tc>
          <w:tcPr>
            <w:tcW w:w="3129" w:type="dxa"/>
            <w:hideMark/>
          </w:tcPr>
          <w:p w:rsidR="00803622" w:rsidRPr="00803622" w:rsidRDefault="00803622" w:rsidP="00516A41">
            <w:pPr>
              <w:jc w:val="center"/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 xml:space="preserve">самый распространенный отход </w:t>
            </w:r>
          </w:p>
        </w:tc>
      </w:tr>
      <w:tr w:rsidR="00803622" w:rsidRPr="00803622" w:rsidTr="00516A41">
        <w:trPr>
          <w:trHeight w:val="463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бой стеклянный ртутных ламп и термометров с остатками ртути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4 71 311 11 49 1</w:t>
            </w:r>
          </w:p>
        </w:tc>
        <w:tc>
          <w:tcPr>
            <w:tcW w:w="3129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</w:rPr>
            </w:pPr>
            <w:r w:rsidRPr="00803622">
              <w:rPr>
                <w:rFonts w:cs="Times New Roman"/>
                <w:bCs/>
                <w:sz w:val="24"/>
              </w:rPr>
              <w:t> </w:t>
            </w:r>
          </w:p>
        </w:tc>
      </w:tr>
      <w:tr w:rsidR="00803622" w:rsidRPr="005333BA" w:rsidTr="00516A41">
        <w:trPr>
          <w:trHeight w:val="557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одиночные гальванические элементы (батарейки) никель-кадмиевые неповрежденные отработанные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 xml:space="preserve">4 82 201 51 53 2 </w:t>
            </w:r>
          </w:p>
        </w:tc>
        <w:tc>
          <w:tcPr>
            <w:tcW w:w="3129" w:type="dxa"/>
            <w:hideMark/>
          </w:tcPr>
          <w:p w:rsidR="00803622" w:rsidRPr="00803622" w:rsidRDefault="00803622" w:rsidP="00516A41">
            <w:pPr>
              <w:jc w:val="center"/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 xml:space="preserve">один из самых распространенных отходов </w:t>
            </w:r>
          </w:p>
        </w:tc>
      </w:tr>
      <w:tr w:rsidR="00803622" w:rsidRPr="005333BA" w:rsidTr="00516A41">
        <w:trPr>
          <w:trHeight w:val="498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источники бесперебойного питания, утратившие потребительские свойства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4 81 211 02 53 2</w:t>
            </w:r>
          </w:p>
        </w:tc>
        <w:tc>
          <w:tcPr>
            <w:tcW w:w="3129" w:type="dxa"/>
            <w:hideMark/>
          </w:tcPr>
          <w:p w:rsidR="00803622" w:rsidRPr="00803622" w:rsidRDefault="00803622" w:rsidP="00516A41">
            <w:pPr>
              <w:jc w:val="center"/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 xml:space="preserve">один из самых распространенных отходов </w:t>
            </w:r>
          </w:p>
        </w:tc>
      </w:tr>
      <w:tr w:rsidR="00803622" w:rsidRPr="005333BA" w:rsidTr="00516A41">
        <w:trPr>
          <w:trHeight w:val="624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br/>
              <w:t>аккумуляторы свинцовые отработанные неповрежденные, с электролитом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9 20 110 01 53 2</w:t>
            </w:r>
          </w:p>
        </w:tc>
        <w:tc>
          <w:tcPr>
            <w:tcW w:w="3129" w:type="dxa"/>
            <w:hideMark/>
          </w:tcPr>
          <w:p w:rsidR="00803622" w:rsidRPr="00803622" w:rsidRDefault="00803622" w:rsidP="00516A41">
            <w:pPr>
              <w:jc w:val="center"/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 xml:space="preserve">один из самых распространенных отходов </w:t>
            </w:r>
          </w:p>
        </w:tc>
      </w:tr>
      <w:tr w:rsidR="00803622" w:rsidRPr="005333BA" w:rsidTr="00516A41">
        <w:trPr>
          <w:trHeight w:val="1033"/>
        </w:trPr>
        <w:tc>
          <w:tcPr>
            <w:tcW w:w="5671" w:type="dxa"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аккумуляторные батареи источников бесперебойного питания свинцово-кислотные, утратившие потребительские свойства, без электролита</w:t>
            </w:r>
          </w:p>
        </w:tc>
        <w:tc>
          <w:tcPr>
            <w:tcW w:w="1984" w:type="dxa"/>
            <w:noWrap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4 82 212 12 52 2</w:t>
            </w:r>
          </w:p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</w:p>
        </w:tc>
        <w:tc>
          <w:tcPr>
            <w:tcW w:w="3129" w:type="dxa"/>
            <w:vMerge w:val="restart"/>
            <w:noWrap/>
            <w:vAlign w:val="center"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В техническом оборудовании</w:t>
            </w:r>
          </w:p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В бытовой электронике, цифровой технике</w:t>
            </w:r>
          </w:p>
        </w:tc>
      </w:tr>
      <w:tr w:rsidR="00803622" w:rsidRPr="00803622" w:rsidTr="00516A41">
        <w:trPr>
          <w:trHeight w:val="1200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аккумуляторные батареи источников бесперебойного питания</w:t>
            </w:r>
            <w:r w:rsidRPr="00803622">
              <w:rPr>
                <w:rFonts w:cs="Times New Roman"/>
                <w:bCs/>
                <w:sz w:val="24"/>
                <w:lang w:val="ru-RU"/>
              </w:rPr>
              <w:br/>
              <w:t>свинцово-кислотные, утратившие потребительские свойства с электролитом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4 82 212 11 53 2</w:t>
            </w:r>
          </w:p>
        </w:tc>
        <w:tc>
          <w:tcPr>
            <w:tcW w:w="3129" w:type="dxa"/>
            <w:vMerge/>
            <w:noWrap/>
            <w:hideMark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803622" w:rsidRPr="00803622" w:rsidTr="00516A41">
        <w:trPr>
          <w:trHeight w:val="600"/>
        </w:trPr>
        <w:tc>
          <w:tcPr>
            <w:tcW w:w="5671" w:type="dxa"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аккумуляторы для портативной техники и устройств свинцово-кислотные, утратившие потребительские свойства</w:t>
            </w:r>
          </w:p>
        </w:tc>
        <w:tc>
          <w:tcPr>
            <w:tcW w:w="1984" w:type="dxa"/>
            <w:noWrap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4 82 211 21 53 2</w:t>
            </w:r>
          </w:p>
        </w:tc>
        <w:tc>
          <w:tcPr>
            <w:tcW w:w="3129" w:type="dxa"/>
            <w:vMerge/>
            <w:noWrap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803622" w:rsidRPr="00803622" w:rsidTr="00516A41">
        <w:trPr>
          <w:trHeight w:val="600"/>
        </w:trPr>
        <w:tc>
          <w:tcPr>
            <w:tcW w:w="5671" w:type="dxa"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аккумуляторы никель-кадмиевые отработанные неповрежденные, с электролитом</w:t>
            </w:r>
          </w:p>
        </w:tc>
        <w:tc>
          <w:tcPr>
            <w:tcW w:w="1984" w:type="dxa"/>
            <w:noWrap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9 20 120 01 53 2</w:t>
            </w:r>
          </w:p>
        </w:tc>
        <w:tc>
          <w:tcPr>
            <w:tcW w:w="3129" w:type="dxa"/>
            <w:vMerge/>
            <w:noWrap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803622" w:rsidRPr="00803622" w:rsidTr="00516A41">
        <w:trPr>
          <w:trHeight w:val="600"/>
        </w:trPr>
        <w:tc>
          <w:tcPr>
            <w:tcW w:w="5671" w:type="dxa"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отходы литий-ионных аккумуляторов неповрежденных</w:t>
            </w:r>
          </w:p>
        </w:tc>
        <w:tc>
          <w:tcPr>
            <w:tcW w:w="1984" w:type="dxa"/>
            <w:noWrap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4 82 201 31 53 2</w:t>
            </w:r>
          </w:p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</w:p>
        </w:tc>
        <w:tc>
          <w:tcPr>
            <w:tcW w:w="3129" w:type="dxa"/>
            <w:vMerge/>
            <w:noWrap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803622" w:rsidRPr="00803622" w:rsidTr="00516A41">
        <w:trPr>
          <w:trHeight w:val="300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</w:rPr>
            </w:pPr>
            <w:proofErr w:type="spellStart"/>
            <w:r w:rsidRPr="00803622">
              <w:rPr>
                <w:rFonts w:cs="Times New Roman"/>
                <w:bCs/>
                <w:sz w:val="24"/>
              </w:rPr>
              <w:t>отходы</w:t>
            </w:r>
            <w:proofErr w:type="spellEnd"/>
            <w:r w:rsidRPr="00803622">
              <w:rPr>
                <w:rFonts w:cs="Times New Roman"/>
                <w:bCs/>
                <w:sz w:val="24"/>
              </w:rPr>
              <w:t xml:space="preserve"> </w:t>
            </w:r>
            <w:proofErr w:type="spellStart"/>
            <w:r w:rsidRPr="00803622">
              <w:rPr>
                <w:rFonts w:cs="Times New Roman"/>
                <w:bCs/>
                <w:sz w:val="24"/>
              </w:rPr>
              <w:t>термометров</w:t>
            </w:r>
            <w:proofErr w:type="spellEnd"/>
            <w:r w:rsidRPr="00803622">
              <w:rPr>
                <w:rFonts w:cs="Times New Roman"/>
                <w:bCs/>
                <w:sz w:val="24"/>
              </w:rPr>
              <w:t xml:space="preserve"> </w:t>
            </w:r>
            <w:proofErr w:type="spellStart"/>
            <w:r w:rsidRPr="00803622">
              <w:rPr>
                <w:rFonts w:cs="Times New Roman"/>
                <w:bCs/>
                <w:sz w:val="24"/>
              </w:rPr>
              <w:t>ртутных</w:t>
            </w:r>
            <w:proofErr w:type="spellEnd"/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4 71 920 00 52 1</w:t>
            </w:r>
          </w:p>
        </w:tc>
        <w:tc>
          <w:tcPr>
            <w:tcW w:w="3129" w:type="dxa"/>
            <w:noWrap/>
            <w:vAlign w:val="center"/>
            <w:hideMark/>
          </w:tcPr>
          <w:p w:rsidR="00803622" w:rsidRPr="00803622" w:rsidRDefault="00516A41" w:rsidP="00516A41">
            <w:pPr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 xml:space="preserve">В </w:t>
            </w:r>
            <w:proofErr w:type="spellStart"/>
            <w:r>
              <w:rPr>
                <w:rFonts w:cs="Times New Roman"/>
                <w:bCs/>
                <w:sz w:val="24"/>
              </w:rPr>
              <w:t>медпунктах</w:t>
            </w:r>
            <w:proofErr w:type="spellEnd"/>
          </w:p>
        </w:tc>
      </w:tr>
      <w:tr w:rsidR="00803622" w:rsidRPr="00516A41" w:rsidTr="00516A41">
        <w:trPr>
          <w:trHeight w:val="507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барометр ртутный, утративший потребительские свойства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4 71 941 11 52 1</w:t>
            </w:r>
          </w:p>
        </w:tc>
        <w:tc>
          <w:tcPr>
            <w:tcW w:w="3129" w:type="dxa"/>
            <w:vMerge w:val="restart"/>
            <w:noWrap/>
            <w:vAlign w:val="center"/>
            <w:hideMark/>
          </w:tcPr>
          <w:p w:rsidR="00803622" w:rsidRPr="00803622" w:rsidRDefault="00516A41" w:rsidP="00516A41">
            <w:pPr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При наличии лаборатории</w:t>
            </w:r>
          </w:p>
        </w:tc>
      </w:tr>
      <w:tr w:rsidR="00803622" w:rsidRPr="00803622" w:rsidTr="00516A41">
        <w:trPr>
          <w:trHeight w:val="600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детали приборов лабораторных, содержащие ртуть, утратившие потребительские свойства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4 71 931 11 52 1</w:t>
            </w:r>
          </w:p>
        </w:tc>
        <w:tc>
          <w:tcPr>
            <w:tcW w:w="3129" w:type="dxa"/>
            <w:vMerge/>
            <w:hideMark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803622" w:rsidRPr="00803622" w:rsidTr="00516A41">
        <w:trPr>
          <w:trHeight w:val="442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растворы, содержащие соли ртути, отработанные при технических испытаниях и измерениях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9 41 451 01 10 1</w:t>
            </w:r>
          </w:p>
        </w:tc>
        <w:tc>
          <w:tcPr>
            <w:tcW w:w="3129" w:type="dxa"/>
            <w:vMerge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</w:rPr>
            </w:pPr>
          </w:p>
        </w:tc>
      </w:tr>
      <w:tr w:rsidR="00803622" w:rsidRPr="00803622" w:rsidTr="00516A41">
        <w:trPr>
          <w:trHeight w:val="806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смесь органических кислот при технических испытаниях и</w:t>
            </w:r>
            <w:r w:rsidRPr="00803622">
              <w:rPr>
                <w:rFonts w:cs="Times New Roman"/>
                <w:bCs/>
                <w:sz w:val="24"/>
                <w:lang w:val="ru-RU"/>
              </w:rPr>
              <w:br/>
              <w:t>измерениях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9 41 319 01 10 2</w:t>
            </w:r>
          </w:p>
        </w:tc>
        <w:tc>
          <w:tcPr>
            <w:tcW w:w="3129" w:type="dxa"/>
            <w:vMerge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</w:rPr>
            </w:pPr>
          </w:p>
        </w:tc>
      </w:tr>
      <w:tr w:rsidR="00803622" w:rsidRPr="00803622" w:rsidTr="00516A41">
        <w:trPr>
          <w:trHeight w:val="734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смесь неорганических кислот при технических испытаниях и</w:t>
            </w:r>
            <w:r w:rsidRPr="00803622">
              <w:rPr>
                <w:rFonts w:cs="Times New Roman"/>
                <w:bCs/>
                <w:sz w:val="24"/>
                <w:lang w:val="ru-RU"/>
              </w:rPr>
              <w:br/>
              <w:t>измерениях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9 41 329 01 10 2</w:t>
            </w:r>
          </w:p>
        </w:tc>
        <w:tc>
          <w:tcPr>
            <w:tcW w:w="3129" w:type="dxa"/>
            <w:vMerge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</w:rPr>
            </w:pPr>
          </w:p>
        </w:tc>
      </w:tr>
      <w:tr w:rsidR="00803622" w:rsidRPr="00803622" w:rsidTr="00516A41">
        <w:trPr>
          <w:trHeight w:val="523"/>
        </w:trPr>
        <w:tc>
          <w:tcPr>
            <w:tcW w:w="5671" w:type="dxa"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 xml:space="preserve">отходы </w:t>
            </w:r>
            <w:proofErr w:type="spellStart"/>
            <w:r w:rsidRPr="00803622">
              <w:rPr>
                <w:rFonts w:cs="Times New Roman"/>
                <w:bCs/>
                <w:sz w:val="24"/>
                <w:lang w:val="ru-RU"/>
              </w:rPr>
              <w:t>ацетонитрила</w:t>
            </w:r>
            <w:proofErr w:type="spellEnd"/>
            <w:r w:rsidRPr="00803622">
              <w:rPr>
                <w:rFonts w:cs="Times New Roman"/>
                <w:bCs/>
                <w:sz w:val="24"/>
                <w:lang w:val="ru-RU"/>
              </w:rPr>
              <w:t xml:space="preserve"> при технических испытаниях и измерениях</w:t>
            </w:r>
          </w:p>
        </w:tc>
        <w:tc>
          <w:tcPr>
            <w:tcW w:w="1984" w:type="dxa"/>
            <w:noWrap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9 41 517 11 10 2</w:t>
            </w:r>
          </w:p>
        </w:tc>
        <w:tc>
          <w:tcPr>
            <w:tcW w:w="3129" w:type="dxa"/>
            <w:vMerge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803622" w:rsidRPr="00803622" w:rsidTr="00516A41">
        <w:trPr>
          <w:trHeight w:val="534"/>
        </w:trPr>
        <w:tc>
          <w:tcPr>
            <w:tcW w:w="5671" w:type="dxa"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отходы хлороформа при технических испытаниях и измерениях</w:t>
            </w:r>
          </w:p>
        </w:tc>
        <w:tc>
          <w:tcPr>
            <w:tcW w:w="1984" w:type="dxa"/>
            <w:noWrap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9 41 550 01 10 2</w:t>
            </w:r>
          </w:p>
        </w:tc>
        <w:tc>
          <w:tcPr>
            <w:tcW w:w="3129" w:type="dxa"/>
            <w:vMerge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803622" w:rsidRPr="00803622" w:rsidTr="00516A41">
        <w:trPr>
          <w:trHeight w:val="716"/>
        </w:trPr>
        <w:tc>
          <w:tcPr>
            <w:tcW w:w="5671" w:type="dxa"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 xml:space="preserve">отходы </w:t>
            </w:r>
            <w:proofErr w:type="spellStart"/>
            <w:r w:rsidRPr="00803622">
              <w:rPr>
                <w:rFonts w:cs="Times New Roman"/>
                <w:bCs/>
                <w:sz w:val="24"/>
                <w:lang w:val="ru-RU"/>
              </w:rPr>
              <w:t>ацетонитрила</w:t>
            </w:r>
            <w:proofErr w:type="spellEnd"/>
            <w:r w:rsidRPr="00803622">
              <w:rPr>
                <w:rFonts w:cs="Times New Roman"/>
                <w:bCs/>
                <w:sz w:val="24"/>
                <w:lang w:val="ru-RU"/>
              </w:rPr>
              <w:t>, загрязненного нерастворимыми неорганическими веществами при технических испытаниях и измерениях</w:t>
            </w:r>
          </w:p>
        </w:tc>
        <w:tc>
          <w:tcPr>
            <w:tcW w:w="1984" w:type="dxa"/>
            <w:noWrap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9 41 517 12 32 2</w:t>
            </w:r>
          </w:p>
        </w:tc>
        <w:tc>
          <w:tcPr>
            <w:tcW w:w="3129" w:type="dxa"/>
            <w:vMerge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803622" w:rsidRPr="00803622" w:rsidTr="00516A41">
        <w:trPr>
          <w:trHeight w:val="546"/>
        </w:trPr>
        <w:tc>
          <w:tcPr>
            <w:tcW w:w="5671" w:type="dxa"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lastRenderedPageBreak/>
              <w:t xml:space="preserve">индикатор </w:t>
            </w:r>
            <w:proofErr w:type="spellStart"/>
            <w:r w:rsidRPr="00803622">
              <w:rPr>
                <w:rFonts w:cs="Times New Roman"/>
                <w:bCs/>
                <w:sz w:val="24"/>
                <w:lang w:val="ru-RU"/>
              </w:rPr>
              <w:t>ксиленоловый</w:t>
            </w:r>
            <w:proofErr w:type="spellEnd"/>
            <w:r w:rsidRPr="00803622">
              <w:rPr>
                <w:rFonts w:cs="Times New Roman"/>
                <w:bCs/>
                <w:sz w:val="24"/>
                <w:lang w:val="ru-RU"/>
              </w:rPr>
              <w:t xml:space="preserve"> оранжевый, утративший потребительские свойства</w:t>
            </w:r>
          </w:p>
        </w:tc>
        <w:tc>
          <w:tcPr>
            <w:tcW w:w="1984" w:type="dxa"/>
            <w:noWrap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9 49 121 21 40 2</w:t>
            </w:r>
          </w:p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</w:p>
        </w:tc>
        <w:tc>
          <w:tcPr>
            <w:tcW w:w="3129" w:type="dxa"/>
            <w:vMerge/>
          </w:tcPr>
          <w:p w:rsidR="00803622" w:rsidRPr="00803622" w:rsidRDefault="00803622" w:rsidP="00A87B03">
            <w:pPr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803622" w:rsidRPr="00516A41" w:rsidTr="00516A41">
        <w:trPr>
          <w:trHeight w:val="573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lastRenderedPageBreak/>
              <w:t>отходы чернил при изготовлении печатной продукции методом ультрафиолетовой печати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3 07 121 21 30 1</w:t>
            </w:r>
          </w:p>
        </w:tc>
        <w:tc>
          <w:tcPr>
            <w:tcW w:w="3129" w:type="dxa"/>
            <w:vMerge w:val="restart"/>
            <w:vAlign w:val="center"/>
            <w:hideMark/>
          </w:tcPr>
          <w:p w:rsidR="00803622" w:rsidRPr="00803622" w:rsidRDefault="00803622" w:rsidP="00516A41">
            <w:pPr>
              <w:jc w:val="center"/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 xml:space="preserve">При </w:t>
            </w:r>
            <w:r w:rsidR="00516A41">
              <w:rPr>
                <w:rFonts w:cs="Times New Roman"/>
                <w:bCs/>
                <w:sz w:val="24"/>
                <w:lang w:val="ru-RU"/>
              </w:rPr>
              <w:t>наличии полиграфического отдела</w:t>
            </w:r>
          </w:p>
        </w:tc>
      </w:tr>
      <w:tr w:rsidR="00803622" w:rsidRPr="00803622" w:rsidTr="00516A41">
        <w:trPr>
          <w:trHeight w:val="484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 xml:space="preserve">отходы чернил при изготовлении печатной продукции методом </w:t>
            </w:r>
            <w:proofErr w:type="spellStart"/>
            <w:r w:rsidRPr="00803622">
              <w:rPr>
                <w:rFonts w:cs="Times New Roman"/>
                <w:bCs/>
                <w:sz w:val="24"/>
                <w:lang w:val="ru-RU"/>
              </w:rPr>
              <w:t>сольвентной</w:t>
            </w:r>
            <w:proofErr w:type="spellEnd"/>
            <w:r w:rsidRPr="00803622">
              <w:rPr>
                <w:rFonts w:cs="Times New Roman"/>
                <w:bCs/>
                <w:sz w:val="24"/>
                <w:lang w:val="ru-RU"/>
              </w:rPr>
              <w:t xml:space="preserve"> струйной печати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3 07 121 22 30 2</w:t>
            </w:r>
          </w:p>
        </w:tc>
        <w:tc>
          <w:tcPr>
            <w:tcW w:w="3129" w:type="dxa"/>
            <w:vMerge/>
            <w:hideMark/>
          </w:tcPr>
          <w:p w:rsidR="00803622" w:rsidRPr="00803622" w:rsidRDefault="00803622" w:rsidP="00A87B03">
            <w:pP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803622" w:rsidRPr="00803622" w:rsidTr="00516A41">
        <w:trPr>
          <w:trHeight w:val="681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отходы растворов, используемых в фотографии, с концентрацией серебросодержащих солей более 20%</w:t>
            </w:r>
          </w:p>
        </w:tc>
        <w:tc>
          <w:tcPr>
            <w:tcW w:w="1984" w:type="dxa"/>
            <w:noWrap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 xml:space="preserve">4 17 215 21 10 2 </w:t>
            </w:r>
          </w:p>
        </w:tc>
        <w:tc>
          <w:tcPr>
            <w:tcW w:w="3129" w:type="dxa"/>
            <w:vMerge/>
            <w:hideMark/>
          </w:tcPr>
          <w:p w:rsidR="00803622" w:rsidRPr="00803622" w:rsidRDefault="00803622" w:rsidP="00A87B03">
            <w:pP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803622" w:rsidRPr="00803622" w:rsidTr="00516A41">
        <w:trPr>
          <w:trHeight w:val="600"/>
        </w:trPr>
        <w:tc>
          <w:tcPr>
            <w:tcW w:w="5671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 xml:space="preserve">отходы растворителей на основе </w:t>
            </w:r>
            <w:proofErr w:type="spellStart"/>
            <w:r w:rsidRPr="00803622">
              <w:rPr>
                <w:rFonts w:cs="Times New Roman"/>
                <w:bCs/>
                <w:sz w:val="24"/>
                <w:lang w:val="ru-RU"/>
              </w:rPr>
              <w:t>бутанона</w:t>
            </w:r>
            <w:proofErr w:type="spellEnd"/>
            <w:r w:rsidRPr="00803622">
              <w:rPr>
                <w:rFonts w:cs="Times New Roman"/>
                <w:bCs/>
                <w:sz w:val="24"/>
                <w:lang w:val="ru-RU"/>
              </w:rPr>
              <w:t>, загрязненные чернилами для печати</w:t>
            </w:r>
          </w:p>
        </w:tc>
        <w:tc>
          <w:tcPr>
            <w:tcW w:w="1984" w:type="dxa"/>
            <w:hideMark/>
          </w:tcPr>
          <w:p w:rsidR="00803622" w:rsidRPr="00803622" w:rsidRDefault="00803622" w:rsidP="00A87B03">
            <w:pPr>
              <w:rPr>
                <w:rFonts w:cs="Times New Roman"/>
                <w:bCs/>
                <w:sz w:val="24"/>
                <w:lang w:val="ru-RU"/>
              </w:rPr>
            </w:pPr>
            <w:r w:rsidRPr="00803622">
              <w:rPr>
                <w:rFonts w:cs="Times New Roman"/>
                <w:bCs/>
                <w:sz w:val="24"/>
                <w:lang w:val="ru-RU"/>
              </w:rPr>
              <w:t>4 14 123 21 10 2</w:t>
            </w:r>
          </w:p>
        </w:tc>
        <w:tc>
          <w:tcPr>
            <w:tcW w:w="3129" w:type="dxa"/>
            <w:vMerge/>
            <w:hideMark/>
          </w:tcPr>
          <w:p w:rsidR="00803622" w:rsidRPr="00803622" w:rsidRDefault="00803622" w:rsidP="00A87B03">
            <w:pP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</w:tbl>
    <w:p w:rsidR="00803622" w:rsidRPr="00803622" w:rsidRDefault="00803622" w:rsidP="00803622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4"/>
        </w:rPr>
      </w:pPr>
    </w:p>
    <w:p w:rsidR="00803622" w:rsidRDefault="00803622" w:rsidP="00803622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Cs w:val="28"/>
        </w:rPr>
      </w:pPr>
    </w:p>
    <w:p w:rsidR="00803622" w:rsidRDefault="00803622" w:rsidP="00803622">
      <w:pPr>
        <w:jc w:val="both"/>
        <w:rPr>
          <w:rFonts w:cs="Times New Roman"/>
          <w:sz w:val="27"/>
          <w:szCs w:val="27"/>
          <w:lang w:val="ru-RU"/>
        </w:rPr>
      </w:pPr>
    </w:p>
    <w:p w:rsidR="00803622" w:rsidRDefault="00803622" w:rsidP="00803622">
      <w:pPr>
        <w:jc w:val="both"/>
        <w:rPr>
          <w:rFonts w:cs="Times New Roman"/>
          <w:sz w:val="27"/>
          <w:szCs w:val="27"/>
          <w:lang w:val="ru-RU"/>
        </w:rPr>
      </w:pPr>
    </w:p>
    <w:p w:rsidR="00803622" w:rsidRDefault="00803622" w:rsidP="00803622">
      <w:pPr>
        <w:jc w:val="both"/>
        <w:rPr>
          <w:rFonts w:cs="Times New Roman"/>
          <w:sz w:val="27"/>
          <w:szCs w:val="27"/>
          <w:lang w:val="ru-RU"/>
        </w:rPr>
      </w:pPr>
    </w:p>
    <w:p w:rsidR="00803622" w:rsidRDefault="00803622" w:rsidP="00803622">
      <w:pPr>
        <w:jc w:val="both"/>
        <w:rPr>
          <w:rFonts w:cs="Times New Roman"/>
          <w:sz w:val="27"/>
          <w:szCs w:val="27"/>
          <w:lang w:val="ru-RU"/>
        </w:rPr>
      </w:pPr>
    </w:p>
    <w:p w:rsidR="00803622" w:rsidRDefault="00803622" w:rsidP="00803622">
      <w:pPr>
        <w:jc w:val="both"/>
        <w:rPr>
          <w:rFonts w:cs="Times New Roman"/>
          <w:sz w:val="27"/>
          <w:szCs w:val="27"/>
          <w:lang w:val="ru-RU"/>
        </w:rPr>
      </w:pPr>
    </w:p>
    <w:p w:rsidR="00803622" w:rsidRDefault="00803622" w:rsidP="00803622">
      <w:pPr>
        <w:jc w:val="both"/>
        <w:rPr>
          <w:rFonts w:cs="Times New Roman"/>
          <w:sz w:val="27"/>
          <w:szCs w:val="27"/>
          <w:lang w:val="ru-RU"/>
        </w:rPr>
      </w:pPr>
    </w:p>
    <w:p w:rsidR="00803622" w:rsidRDefault="00803622" w:rsidP="00803622">
      <w:pPr>
        <w:jc w:val="both"/>
        <w:rPr>
          <w:rFonts w:cs="Times New Roman"/>
          <w:sz w:val="27"/>
          <w:szCs w:val="27"/>
          <w:lang w:val="ru-RU"/>
        </w:rPr>
      </w:pPr>
    </w:p>
    <w:p w:rsidR="00803622" w:rsidRDefault="00803622" w:rsidP="00803622">
      <w:pPr>
        <w:jc w:val="both"/>
        <w:rPr>
          <w:rFonts w:cs="Times New Roman"/>
          <w:sz w:val="27"/>
          <w:szCs w:val="27"/>
          <w:lang w:val="ru-RU"/>
        </w:rPr>
      </w:pPr>
    </w:p>
    <w:p w:rsidR="00A059CC" w:rsidRDefault="00242B24"/>
    <w:sectPr w:rsidR="00A059CC" w:rsidSect="000C7341">
      <w:headerReference w:type="default" r:id="rId6"/>
      <w:footerReference w:type="first" r:id="rId7"/>
      <w:pgSz w:w="11900" w:h="16840" w:code="9"/>
      <w:pgMar w:top="284" w:right="680" w:bottom="851" w:left="1418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24" w:rsidRDefault="00242B24">
      <w:r>
        <w:separator/>
      </w:r>
    </w:p>
  </w:endnote>
  <w:endnote w:type="continuationSeparator" w:id="0">
    <w:p w:rsidR="00242B24" w:rsidRDefault="0024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D3" w:rsidRDefault="00242B24">
    <w:pPr>
      <w:pStyle w:val="a6"/>
    </w:pPr>
  </w:p>
  <w:p w:rsidR="008D50D3" w:rsidRDefault="00242B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24" w:rsidRDefault="00242B24">
      <w:r>
        <w:separator/>
      </w:r>
    </w:p>
  </w:footnote>
  <w:footnote w:type="continuationSeparator" w:id="0">
    <w:p w:rsidR="00242B24" w:rsidRDefault="0024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9802"/>
    </w:tblGrid>
    <w:tr w:rsidR="001448AC" w:rsidTr="00F82A59">
      <w:trPr>
        <w:trHeight w:hRule="exact" w:val="567"/>
      </w:trPr>
      <w:tc>
        <w:tcPr>
          <w:tcW w:w="990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48AC" w:rsidRPr="001448AC" w:rsidRDefault="00803622" w:rsidP="00F82A59">
          <w:pPr>
            <w:pStyle w:val="a4"/>
            <w:jc w:val="center"/>
            <w:rPr>
              <w:rFonts w:cs="Times New Roman"/>
            </w:rPr>
          </w:pPr>
          <w:r w:rsidRPr="001448AC">
            <w:rPr>
              <w:rFonts w:cs="Times New Roman"/>
            </w:rPr>
            <w:fldChar w:fldCharType="begin"/>
          </w:r>
          <w:r w:rsidRPr="001448AC">
            <w:rPr>
              <w:rFonts w:cs="Times New Roman"/>
            </w:rPr>
            <w:instrText>PAGE   \* MERGEFORMAT</w:instrText>
          </w:r>
          <w:r w:rsidRPr="001448AC">
            <w:rPr>
              <w:rFonts w:cs="Times New Roman"/>
            </w:rPr>
            <w:fldChar w:fldCharType="separate"/>
          </w:r>
          <w:r w:rsidR="005333BA" w:rsidRPr="005333BA">
            <w:rPr>
              <w:rFonts w:cs="Times New Roman"/>
              <w:noProof/>
              <w:lang w:val="ru-RU"/>
            </w:rPr>
            <w:t>2</w:t>
          </w:r>
          <w:r w:rsidRPr="001448AC">
            <w:rPr>
              <w:rFonts w:cs="Times New Roman"/>
            </w:rPr>
            <w:fldChar w:fldCharType="end"/>
          </w:r>
        </w:p>
      </w:tc>
    </w:tr>
  </w:tbl>
  <w:p w:rsidR="001448AC" w:rsidRDefault="00242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22"/>
    <w:rsid w:val="00127DDE"/>
    <w:rsid w:val="00242B24"/>
    <w:rsid w:val="00516A41"/>
    <w:rsid w:val="005333BA"/>
    <w:rsid w:val="0055691B"/>
    <w:rsid w:val="00803622"/>
    <w:rsid w:val="00BD3207"/>
    <w:rsid w:val="00CA36F6"/>
    <w:rsid w:val="00D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05729-4CC2-4195-980E-D188C498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22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622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622"/>
    <w:rPr>
      <w:rFonts w:ascii="Times New Roman" w:hAnsi="Times New Roman"/>
      <w:sz w:val="28"/>
      <w:szCs w:val="24"/>
      <w:lang w:val="en-GB"/>
    </w:rPr>
  </w:style>
  <w:style w:type="paragraph" w:styleId="a6">
    <w:name w:val="footer"/>
    <w:basedOn w:val="a"/>
    <w:link w:val="a7"/>
    <w:uiPriority w:val="99"/>
    <w:unhideWhenUsed/>
    <w:rsid w:val="00803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622"/>
    <w:rPr>
      <w:rFonts w:ascii="Times New Roman" w:hAnsi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Анна Сергеевна</dc:creator>
  <cp:keywords/>
  <dc:description/>
  <cp:lastModifiedBy>ADM54</cp:lastModifiedBy>
  <cp:revision>7</cp:revision>
  <dcterms:created xsi:type="dcterms:W3CDTF">2021-11-29T14:41:00Z</dcterms:created>
  <dcterms:modified xsi:type="dcterms:W3CDTF">2022-02-03T07:05:00Z</dcterms:modified>
</cp:coreProperties>
</file>